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2273"/>
        <w:gridCol w:w="5314"/>
        <w:gridCol w:w="37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39个观测标及责任单位表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3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主要观测点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综述材料撰写单位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1办学思路与领导作用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1.1学校定位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1.1.1学校定位与规划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1办学思路与领导作用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1.2领导作用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1.2.1领导能力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1办学思路与领导作用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1.2领导作用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1.2.2教学中心地位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1办学思路与领导作用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1.3人才培养模式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1.3.1人才培养思路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1办学思路与领导作用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1.3人才培养模式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1.3.2产学研合作教育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发规处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2教师队伍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2.1数量与结构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2.1.1生师比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2教师队伍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2.1数量与结构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2.1.2队伍结构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2教师队伍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2.2教育教学水平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2.2.1师德水平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2教师队伍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2.2教育教学水平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2.2.2教学水平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2教师队伍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2.3培养培训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2.3.1教师培养培训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3教学条件与利用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3.1教学基本设施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3.1.1实验室、实习场所建设与利用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实验设备管理处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3教学条件与利用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3.1教学基本设施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3.1.2图书资料和校园网建设与利用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图书馆/网络管理中心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3教学条件与利用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3.1教学基本设施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3.1.3校舍、运动场、活动场所及设施建设与利用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基建处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3教学条件与利用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3.2经费投入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3.2.1教学经费投入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4专业与课程建设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4.1专业建设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4.1.1专业设置与结构调整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4专业与课程建设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4.1专业建设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4.1.2培养方案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4专业与课程建设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4.2课程与教学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4.2.1教学内容与课程资源建设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4专业与课程建设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4.2课程与教学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4.2.2课堂教学与学习评价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4专业与课程建设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4.3实践教学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4.3.1实验教学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4专业与课程建设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4.3实践教学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4.3.2实习实训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4专业与课程建设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4.3实践教学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4.3.3社会实践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4专业与课程建设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4.3实践教学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4.3.4毕业论文（设计）与综合训练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5质量管理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5.1教学管理队伍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5.1.1结构与素质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5质量管理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5.2质量监控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5.2.1规章制度监控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5质量管理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5.2质量监控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5.2.2质量控制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监评中心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6学风建设与学生指导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6.1学风建设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6.1.1政策与措施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6学风建设与学生指导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6.1学风建设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6.1.2学习氛围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6学风建设与学生指导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6.1学风建设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6.1.3校园文化活动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团委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6学风建设与学生指导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6.2指导与服务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6.2.1组织保障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6学风建设与学生指导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6.2指导与服务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6.2.2学生服务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7教学质量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7.1德育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7.1.1思想政治教育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7教学质量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7.1德育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7.1.2思想品德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7教学质量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7.2专业知识和能力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7.2.1专业基本理论与技能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7教学质量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7.2专业知识和能力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7.2.2专业能力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7教学质量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7.3体育美育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7.3.1体育和美育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体育学院/人文艺术学院/教务处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7教学质量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7.4校内外评价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7.4.1师生评价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监评中心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7教学质量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7.4校内外评价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7.4.2社会评价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招就处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7教学质量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7.5就业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7.5.1就业率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招就处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7教学质量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7.5就业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7.5.2就业质量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招就处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1A2C3E6-35FE-4148-8D95-58426EE5FD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E39B7D-2812-498B-AC48-3C5C61C661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F0C45"/>
    <w:rsid w:val="00C96DD9"/>
    <w:rsid w:val="4D6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2020-09-08T02:29:00Z</dcterms:created>
  <dc:creator>starrain1987</dc:creator>
  <cp:lastModifiedBy>starrain1987</cp:lastModifiedBy>
  <dcterms:modified xsi:type="dcterms:W3CDTF">2020-09-08T02:31:02Z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